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9"/>
        <w:rPr>
          <w:sz w:val="20"/>
        </w:rPr>
      </w:pP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81.9pt;height:19.8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pStyle w:val="BodyText"/>
                    <w:spacing w:before="55"/>
                    <w:ind w:left="2161" w:right="2157"/>
                    <w:jc w:val="center"/>
                  </w:pPr>
                  <w:r>
                    <w:rPr/>
                    <w:t>Vœu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d’opposition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aux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mesures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«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choc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savoirs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»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before="90"/>
        <w:ind w:left="115" w:right="114" w:firstLine="709"/>
        <w:jc w:val="both"/>
      </w:pPr>
      <w:r>
        <w:rPr/>
        <w:t>Les</w:t>
      </w:r>
      <w:r>
        <w:rPr>
          <w:spacing w:val="1"/>
        </w:rPr>
        <w:t> </w:t>
      </w:r>
      <w:r>
        <w:rPr/>
        <w:t>représentant.es</w:t>
      </w:r>
      <w:r>
        <w:rPr>
          <w:spacing w:val="1"/>
        </w:rPr>
        <w:t> </w:t>
      </w:r>
      <w:r>
        <w:rPr/>
        <w:t>des</w:t>
      </w:r>
      <w:r>
        <w:rPr>
          <w:spacing w:val="1"/>
        </w:rPr>
        <w:t> </w:t>
      </w:r>
      <w:r>
        <w:rPr/>
        <w:t>personnels</w:t>
      </w:r>
      <w:r>
        <w:rPr>
          <w:spacing w:val="1"/>
        </w:rPr>
        <w:t> </w:t>
      </w:r>
      <w:r>
        <w:rPr/>
        <w:t>d’enseignement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d’éducation,</w:t>
      </w:r>
      <w:r>
        <w:rPr>
          <w:spacing w:val="1"/>
        </w:rPr>
        <w:t> </w:t>
      </w:r>
      <w:r>
        <w:rPr/>
        <w:t>soutenu.es</w:t>
      </w:r>
      <w:r>
        <w:rPr>
          <w:spacing w:val="1"/>
        </w:rPr>
        <w:t> </w:t>
      </w:r>
      <w:r>
        <w:rPr/>
        <w:t>par</w:t>
      </w:r>
      <w:r>
        <w:rPr>
          <w:spacing w:val="60"/>
        </w:rPr>
        <w:t> </w:t>
      </w:r>
      <w:r>
        <w:rPr/>
        <w:t>leur</w:t>
      </w:r>
      <w:r>
        <w:rPr>
          <w:spacing w:val="1"/>
        </w:rPr>
        <w:t> </w:t>
      </w:r>
      <w:r>
        <w:rPr/>
        <w:t>section SNES-FSU, expriment leur ferme opposition à la mise en place des mesures du choc des</w:t>
      </w:r>
      <w:r>
        <w:rPr>
          <w:spacing w:val="1"/>
        </w:rPr>
        <w:t> </w:t>
      </w:r>
      <w:r>
        <w:rPr/>
        <w:t>savoirs.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mobilisations</w:t>
      </w:r>
      <w:r>
        <w:rPr>
          <w:spacing w:val="1"/>
        </w:rPr>
        <w:t> </w:t>
      </w:r>
      <w:r>
        <w:rPr/>
        <w:t>d’ampleur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votes</w:t>
      </w:r>
      <w:r>
        <w:rPr>
          <w:spacing w:val="1"/>
        </w:rPr>
        <w:t> </w:t>
      </w:r>
      <w:r>
        <w:rPr/>
        <w:t>au</w:t>
      </w:r>
      <w:r>
        <w:rPr>
          <w:spacing w:val="1"/>
        </w:rPr>
        <w:t> </w:t>
      </w:r>
      <w:r>
        <w:rPr/>
        <w:t>Conseil</w:t>
      </w:r>
      <w:r>
        <w:rPr>
          <w:spacing w:val="1"/>
        </w:rPr>
        <w:t> </w:t>
      </w:r>
      <w:r>
        <w:rPr/>
        <w:t>supérieur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l’éducation</w:t>
      </w:r>
      <w:r>
        <w:rPr>
          <w:spacing w:val="1"/>
        </w:rPr>
        <w:t> </w:t>
      </w:r>
      <w:r>
        <w:rPr/>
        <w:t>(CSE)</w:t>
      </w:r>
      <w:r>
        <w:rPr>
          <w:spacing w:val="1"/>
        </w:rPr>
        <w:t> </w:t>
      </w:r>
      <w:r>
        <w:rPr/>
        <w:t>démontrent</w:t>
      </w:r>
      <w:r>
        <w:rPr>
          <w:spacing w:val="-1"/>
        </w:rPr>
        <w:t> </w:t>
      </w:r>
      <w:r>
        <w:rPr/>
        <w:t>un refus quasi unanime de cette</w:t>
      </w:r>
      <w:r>
        <w:rPr>
          <w:spacing w:val="-1"/>
        </w:rPr>
        <w:t> </w:t>
      </w:r>
      <w:r>
        <w:rPr/>
        <w:t>réforme par la</w:t>
      </w:r>
      <w:r>
        <w:rPr>
          <w:spacing w:val="-1"/>
        </w:rPr>
        <w:t> </w:t>
      </w:r>
      <w:r>
        <w:rPr/>
        <w:t>profession.</w:t>
      </w:r>
    </w:p>
    <w:p>
      <w:pPr>
        <w:pStyle w:val="BodyText"/>
      </w:pPr>
    </w:p>
    <w:p>
      <w:pPr>
        <w:pStyle w:val="BodyText"/>
        <w:ind w:left="115" w:right="120" w:firstLine="709"/>
        <w:jc w:val="both"/>
      </w:pPr>
      <w:r>
        <w:rPr/>
        <w:t>La</w:t>
      </w:r>
      <w:r>
        <w:rPr>
          <w:spacing w:val="48"/>
        </w:rPr>
        <w:t> </w:t>
      </w:r>
      <w:r>
        <w:rPr/>
        <w:t>parution</w:t>
      </w:r>
      <w:r>
        <w:rPr>
          <w:spacing w:val="48"/>
        </w:rPr>
        <w:t> </w:t>
      </w:r>
      <w:r>
        <w:rPr/>
        <w:t>des</w:t>
      </w:r>
      <w:r>
        <w:rPr>
          <w:spacing w:val="48"/>
        </w:rPr>
        <w:t> </w:t>
      </w:r>
      <w:r>
        <w:rPr/>
        <w:t>décrets</w:t>
      </w:r>
      <w:r>
        <w:rPr>
          <w:spacing w:val="48"/>
        </w:rPr>
        <w:t> </w:t>
      </w:r>
      <w:r>
        <w:rPr/>
        <w:t>et</w:t>
      </w:r>
      <w:r>
        <w:rPr>
          <w:spacing w:val="48"/>
        </w:rPr>
        <w:t> </w:t>
      </w:r>
      <w:r>
        <w:rPr/>
        <w:t>arrêtés</w:t>
      </w:r>
      <w:r>
        <w:rPr>
          <w:spacing w:val="48"/>
        </w:rPr>
        <w:t> </w:t>
      </w:r>
      <w:r>
        <w:rPr/>
        <w:t>et</w:t>
      </w:r>
      <w:r>
        <w:rPr>
          <w:spacing w:val="48"/>
        </w:rPr>
        <w:t> </w:t>
      </w:r>
      <w:r>
        <w:rPr/>
        <w:t>notes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service,</w:t>
      </w:r>
      <w:r>
        <w:rPr>
          <w:spacing w:val="48"/>
        </w:rPr>
        <w:t> </w:t>
      </w:r>
      <w:r>
        <w:rPr/>
        <w:t>au</w:t>
      </w:r>
      <w:r>
        <w:rPr>
          <w:spacing w:val="48"/>
        </w:rPr>
        <w:t> </w:t>
      </w:r>
      <w:r>
        <w:rPr/>
        <w:t>BO</w:t>
      </w:r>
      <w:r>
        <w:rPr>
          <w:spacing w:val="48"/>
        </w:rPr>
        <w:t> </w:t>
      </w:r>
      <w:r>
        <w:rPr/>
        <w:t>du</w:t>
      </w:r>
      <w:r>
        <w:rPr>
          <w:spacing w:val="48"/>
        </w:rPr>
        <w:t> </w:t>
      </w:r>
      <w:r>
        <w:rPr/>
        <w:t>18</w:t>
      </w:r>
      <w:r>
        <w:rPr>
          <w:spacing w:val="48"/>
        </w:rPr>
        <w:t> </w:t>
      </w:r>
      <w:r>
        <w:rPr/>
        <w:t>mars,</w:t>
      </w:r>
      <w:r>
        <w:rPr>
          <w:spacing w:val="48"/>
        </w:rPr>
        <w:t> </w:t>
      </w:r>
      <w:r>
        <w:rPr/>
        <w:t>conforte</w:t>
      </w:r>
      <w:r>
        <w:rPr>
          <w:spacing w:val="48"/>
        </w:rPr>
        <w:t> </w:t>
      </w:r>
      <w:r>
        <w:rPr/>
        <w:t>les</w:t>
      </w:r>
      <w:r>
        <w:rPr>
          <w:spacing w:val="-57"/>
        </w:rPr>
        <w:t> </w:t>
      </w:r>
      <w:r>
        <w:rPr/>
        <w:t>analyses sur les dangers de telles mesures. Elles remettent profondément en cause le collège unique,</w:t>
      </w:r>
      <w:r>
        <w:rPr>
          <w:spacing w:val="-57"/>
        </w:rPr>
        <w:t> </w:t>
      </w:r>
      <w:r>
        <w:rPr/>
        <w:t>l’avenir scolaire de nos élèves (notamment les plus fragiles) et la professionnalité des personnels de</w:t>
      </w:r>
      <w:r>
        <w:rPr>
          <w:spacing w:val="1"/>
        </w:rPr>
        <w:t> </w:t>
      </w:r>
      <w:r>
        <w:rPr/>
        <w:t>l’Éducation</w:t>
      </w:r>
      <w:r>
        <w:rPr>
          <w:spacing w:val="-2"/>
        </w:rPr>
        <w:t> </w:t>
      </w:r>
      <w:r>
        <w:rPr/>
        <w:t>nationale.</w:t>
      </w:r>
    </w:p>
    <w:p>
      <w:pPr>
        <w:pStyle w:val="BodyText"/>
      </w:pPr>
    </w:p>
    <w:p>
      <w:pPr>
        <w:pStyle w:val="BodyText"/>
        <w:ind w:left="115" w:right="120" w:firstLine="709"/>
        <w:jc w:val="both"/>
      </w:pPr>
      <w:r>
        <w:rPr/>
        <w:t>Même si le terme n’apparaît que dans la note de service, la mise en place de regroupements</w:t>
      </w:r>
      <w:r>
        <w:rPr>
          <w:spacing w:val="1"/>
        </w:rPr>
        <w:t> </w:t>
      </w:r>
      <w:r>
        <w:rPr/>
        <w:t>de niveau, durant plus d’un tiers du temps scolaire, serait une aberration décriée par la quasi totalité</w:t>
      </w:r>
      <w:r>
        <w:rPr>
          <w:spacing w:val="1"/>
        </w:rPr>
        <w:t> </w:t>
      </w:r>
      <w:r>
        <w:rPr/>
        <w:t>de la recherche en éducation. Elle conduirait à un tri scolaire des élèves qui, dans un système où le</w:t>
      </w:r>
      <w:r>
        <w:rPr>
          <w:spacing w:val="1"/>
        </w:rPr>
        <w:t> </w:t>
      </w:r>
      <w:r>
        <w:rPr/>
        <w:t>déterminisme</w:t>
      </w:r>
      <w:r>
        <w:rPr>
          <w:spacing w:val="16"/>
        </w:rPr>
        <w:t> </w:t>
      </w:r>
      <w:r>
        <w:rPr/>
        <w:t>est</w:t>
      </w:r>
      <w:r>
        <w:rPr>
          <w:spacing w:val="17"/>
        </w:rPr>
        <w:t> </w:t>
      </w:r>
      <w:r>
        <w:rPr/>
        <w:t>aussi</w:t>
      </w:r>
      <w:r>
        <w:rPr>
          <w:spacing w:val="16"/>
        </w:rPr>
        <w:t> </w:t>
      </w:r>
      <w:r>
        <w:rPr/>
        <w:t>prégnant</w:t>
      </w:r>
      <w:r>
        <w:rPr>
          <w:spacing w:val="17"/>
        </w:rPr>
        <w:t> </w:t>
      </w:r>
      <w:r>
        <w:rPr/>
        <w:t>qu’en</w:t>
      </w:r>
      <w:r>
        <w:rPr>
          <w:spacing w:val="17"/>
        </w:rPr>
        <w:t> </w:t>
      </w:r>
      <w:r>
        <w:rPr/>
        <w:t>France,</w:t>
      </w:r>
      <w:r>
        <w:rPr>
          <w:spacing w:val="16"/>
        </w:rPr>
        <w:t> </w:t>
      </w:r>
      <w:r>
        <w:rPr/>
        <w:t>conduirait</w:t>
      </w:r>
      <w:r>
        <w:rPr>
          <w:spacing w:val="17"/>
        </w:rPr>
        <w:t> </w:t>
      </w:r>
      <w:r>
        <w:rPr/>
        <w:t>forcément</w:t>
      </w:r>
      <w:r>
        <w:rPr>
          <w:spacing w:val="17"/>
        </w:rPr>
        <w:t> </w:t>
      </w:r>
      <w:r>
        <w:rPr/>
        <w:t>à</w:t>
      </w:r>
      <w:r>
        <w:rPr>
          <w:spacing w:val="16"/>
        </w:rPr>
        <w:t> </w:t>
      </w:r>
      <w:r>
        <w:rPr/>
        <w:t>un</w:t>
      </w:r>
      <w:r>
        <w:rPr>
          <w:spacing w:val="17"/>
        </w:rPr>
        <w:t> </w:t>
      </w:r>
      <w:r>
        <w:rPr/>
        <w:t>tri</w:t>
      </w:r>
      <w:r>
        <w:rPr>
          <w:spacing w:val="17"/>
        </w:rPr>
        <w:t> </w:t>
      </w:r>
      <w:r>
        <w:rPr/>
        <w:t>social.</w:t>
      </w:r>
      <w:r>
        <w:rPr>
          <w:spacing w:val="16"/>
        </w:rPr>
        <w:t> </w:t>
      </w:r>
      <w:r>
        <w:rPr/>
        <w:t>Nous</w:t>
      </w:r>
      <w:r>
        <w:rPr>
          <w:spacing w:val="17"/>
        </w:rPr>
        <w:t> </w:t>
      </w:r>
      <w:r>
        <w:rPr/>
        <w:t>refusons</w:t>
      </w:r>
      <w:r>
        <w:rPr>
          <w:spacing w:val="-58"/>
        </w:rPr>
        <w:t> </w:t>
      </w:r>
      <w:r>
        <w:rPr/>
        <w:t>ce</w:t>
      </w:r>
      <w:r>
        <w:rPr>
          <w:spacing w:val="-2"/>
        </w:rPr>
        <w:t> </w:t>
      </w:r>
      <w:r>
        <w:rPr/>
        <w:t>tri</w:t>
      </w:r>
      <w:r>
        <w:rPr>
          <w:spacing w:val="-1"/>
        </w:rPr>
        <w:t> </w:t>
      </w:r>
      <w:r>
        <w:rPr/>
        <w:t>qui</w:t>
      </w:r>
      <w:r>
        <w:rPr>
          <w:spacing w:val="-1"/>
        </w:rPr>
        <w:t> </w:t>
      </w:r>
      <w:r>
        <w:rPr/>
        <w:t>minerait</w:t>
      </w:r>
      <w:r>
        <w:rPr>
          <w:spacing w:val="-1"/>
        </w:rPr>
        <w:t> </w:t>
      </w:r>
      <w:r>
        <w:rPr/>
        <w:t>l’estime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soi</w:t>
      </w:r>
      <w:r>
        <w:rPr>
          <w:spacing w:val="-1"/>
        </w:rPr>
        <w:t> </w:t>
      </w:r>
      <w:r>
        <w:rPr/>
        <w:t>des élèves</w:t>
      </w:r>
      <w:r>
        <w:rPr>
          <w:spacing w:val="-2"/>
        </w:rPr>
        <w:t> </w:t>
      </w:r>
      <w:r>
        <w:rPr/>
        <w:t>les</w:t>
      </w:r>
      <w:r>
        <w:rPr>
          <w:spacing w:val="-1"/>
        </w:rPr>
        <w:t> </w:t>
      </w:r>
      <w:r>
        <w:rPr/>
        <w:t>plus fragiles.</w:t>
      </w:r>
    </w:p>
    <w:p>
      <w:pPr>
        <w:pStyle w:val="BodyText"/>
      </w:pPr>
    </w:p>
    <w:p>
      <w:pPr>
        <w:pStyle w:val="BodyText"/>
        <w:ind w:left="115" w:right="121"/>
        <w:jc w:val="both"/>
      </w:pPr>
      <w:r>
        <w:rPr/>
        <w:t>Les modalités d’organisation, comprenant des classes mises en barrette, contraindraient fortement</w:t>
      </w:r>
      <w:r>
        <w:rPr>
          <w:spacing w:val="1"/>
        </w:rPr>
        <w:t> </w:t>
      </w:r>
      <w:r>
        <w:rPr/>
        <w:t>les emplois du temps des élèves et des personnels. La liberté pédagogique des professeur.es de</w:t>
      </w:r>
      <w:r>
        <w:rPr>
          <w:spacing w:val="1"/>
        </w:rPr>
        <w:t> </w:t>
      </w:r>
      <w:r>
        <w:rPr/>
        <w:t>lettres et de mathématiques seraient attaquées par la nécessité de progressions communes. Quant au</w:t>
      </w:r>
      <w:r>
        <w:rPr>
          <w:spacing w:val="1"/>
        </w:rPr>
        <w:t> </w:t>
      </w:r>
      <w:r>
        <w:rPr/>
        <w:t>poids prépondérant des évaluations nationales standardisées (aux nombreux biais) dans l’avenir</w:t>
      </w:r>
      <w:r>
        <w:rPr>
          <w:spacing w:val="1"/>
        </w:rPr>
        <w:t> </w:t>
      </w:r>
      <w:r>
        <w:rPr/>
        <w:t>scolaire</w:t>
      </w:r>
      <w:r>
        <w:rPr>
          <w:spacing w:val="-2"/>
        </w:rPr>
        <w:t> </w:t>
      </w:r>
      <w:r>
        <w:rPr/>
        <w:t>des élèves</w:t>
      </w:r>
      <w:r>
        <w:rPr>
          <w:spacing w:val="1"/>
        </w:rPr>
        <w:t> </w:t>
      </w:r>
      <w:r>
        <w:rPr/>
        <w:t>;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est</w:t>
      </w:r>
      <w:r>
        <w:rPr>
          <w:spacing w:val="-1"/>
        </w:rPr>
        <w:t> </w:t>
      </w:r>
      <w:r>
        <w:rPr/>
        <w:t>inacceptable</w:t>
      </w:r>
      <w:r>
        <w:rPr>
          <w:spacing w:val="4"/>
        </w:rPr>
        <w:t> </w:t>
      </w:r>
      <w:r>
        <w:rPr/>
        <w:t>!</w:t>
      </w:r>
    </w:p>
    <w:p>
      <w:pPr>
        <w:pStyle w:val="BodyText"/>
      </w:pPr>
    </w:p>
    <w:p>
      <w:pPr>
        <w:pStyle w:val="BodyText"/>
        <w:ind w:left="115" w:right="116" w:firstLine="709"/>
        <w:jc w:val="both"/>
      </w:pPr>
      <w:r>
        <w:rPr/>
        <w:t>Jamais le DNB n’a été obligatoire pour étudier au lycée. Cette évolution est une régression</w:t>
      </w:r>
      <w:r>
        <w:rPr>
          <w:spacing w:val="1"/>
        </w:rPr>
        <w:t> </w:t>
      </w:r>
      <w:r>
        <w:rPr/>
        <w:t>historique en terme de démocratisation du second degré ! Nous refusons également le principe de la</w:t>
      </w:r>
      <w:r>
        <w:rPr>
          <w:spacing w:val="1"/>
        </w:rPr>
        <w:t> </w:t>
      </w:r>
      <w:r>
        <w:rPr/>
        <w:t>prépa-Seconde pour les élèves ayant échoué à cet examen. Cette classe de relégation voit ses</w:t>
      </w:r>
      <w:r>
        <w:rPr>
          <w:spacing w:val="1"/>
        </w:rPr>
        <w:t> </w:t>
      </w:r>
      <w:r>
        <w:rPr/>
        <w:t>horaires d’enseignement généraux réduit de presque un tiers, ce qui ne permettrait pas la poursuite</w:t>
      </w:r>
      <w:r>
        <w:rPr>
          <w:spacing w:val="1"/>
        </w:rPr>
        <w:t> </w:t>
      </w:r>
      <w:r>
        <w:rPr/>
        <w:t>d’étude au lycée général, technologique ou professionnel. La classe de prépa-Seconde préparerait</w:t>
      </w:r>
      <w:r>
        <w:rPr>
          <w:spacing w:val="1"/>
        </w:rPr>
        <w:t> </w:t>
      </w:r>
      <w:r>
        <w:rPr/>
        <w:t>plutôt une sortie précoce du système scolaire vers l’apprentissage ou le décrochage scolaire. Un</w:t>
      </w:r>
      <w:r>
        <w:rPr>
          <w:spacing w:val="1"/>
        </w:rPr>
        <w:t> </w:t>
      </w:r>
      <w:r>
        <w:rPr/>
        <w:t>examen couperet mettrait à mal un travail pluriprofessionnel de longue haleine sur l’orientation. Le</w:t>
      </w:r>
      <w:r>
        <w:rPr>
          <w:spacing w:val="1"/>
        </w:rPr>
        <w:t> </w:t>
      </w:r>
      <w:r>
        <w:rPr/>
        <w:t>ministère</w:t>
      </w:r>
      <w:r>
        <w:rPr>
          <w:spacing w:val="16"/>
        </w:rPr>
        <w:t> </w:t>
      </w:r>
      <w:r>
        <w:rPr/>
        <w:t>évalue</w:t>
      </w:r>
      <w:r>
        <w:rPr>
          <w:spacing w:val="17"/>
        </w:rPr>
        <w:t> </w:t>
      </w:r>
      <w:r>
        <w:rPr/>
        <w:t>à</w:t>
      </w:r>
      <w:r>
        <w:rPr>
          <w:spacing w:val="16"/>
        </w:rPr>
        <w:t> </w:t>
      </w:r>
      <w:r>
        <w:rPr/>
        <w:t>20</w:t>
      </w:r>
      <w:r>
        <w:rPr>
          <w:spacing w:val="2"/>
        </w:rPr>
        <w:t> </w:t>
      </w:r>
      <w:r>
        <w:rPr/>
        <w:t>%</w:t>
      </w:r>
      <w:r>
        <w:rPr>
          <w:spacing w:val="17"/>
        </w:rPr>
        <w:t> </w:t>
      </w:r>
      <w:r>
        <w:rPr/>
        <w:t>le</w:t>
      </w:r>
      <w:r>
        <w:rPr>
          <w:spacing w:val="17"/>
        </w:rPr>
        <w:t> </w:t>
      </w:r>
      <w:r>
        <w:rPr/>
        <w:t>nombre</w:t>
      </w:r>
      <w:r>
        <w:rPr>
          <w:spacing w:val="16"/>
        </w:rPr>
        <w:t> </w:t>
      </w:r>
      <w:r>
        <w:rPr/>
        <w:t>d’élèves</w:t>
      </w:r>
      <w:r>
        <w:rPr>
          <w:spacing w:val="17"/>
        </w:rPr>
        <w:t> </w:t>
      </w:r>
      <w:r>
        <w:rPr/>
        <w:t>qui</w:t>
      </w:r>
      <w:r>
        <w:rPr>
          <w:spacing w:val="16"/>
        </w:rPr>
        <w:t> </w:t>
      </w:r>
      <w:r>
        <w:rPr/>
        <w:t>seraient</w:t>
      </w:r>
      <w:r>
        <w:rPr>
          <w:spacing w:val="17"/>
        </w:rPr>
        <w:t> </w:t>
      </w:r>
      <w:r>
        <w:rPr/>
        <w:t>concerné.e.s</w:t>
      </w:r>
      <w:r>
        <w:rPr>
          <w:spacing w:val="17"/>
        </w:rPr>
        <w:t> </w:t>
      </w:r>
      <w:r>
        <w:rPr/>
        <w:t>par</w:t>
      </w:r>
      <w:r>
        <w:rPr>
          <w:spacing w:val="16"/>
        </w:rPr>
        <w:t> </w:t>
      </w:r>
      <w:r>
        <w:rPr/>
        <w:t>ce</w:t>
      </w:r>
      <w:r>
        <w:rPr>
          <w:spacing w:val="17"/>
        </w:rPr>
        <w:t> </w:t>
      </w:r>
      <w:r>
        <w:rPr/>
        <w:t>dispositif.</w:t>
      </w:r>
      <w:r>
        <w:rPr>
          <w:spacing w:val="16"/>
        </w:rPr>
        <w:t> </w:t>
      </w:r>
      <w:r>
        <w:rPr/>
        <w:t>C’est</w:t>
      </w:r>
      <w:r>
        <w:rPr>
          <w:spacing w:val="17"/>
        </w:rPr>
        <w:t> </w:t>
      </w:r>
      <w:r>
        <w:rPr/>
        <w:t>donc</w:t>
      </w:r>
      <w:r>
        <w:rPr>
          <w:spacing w:val="-58"/>
        </w:rPr>
        <w:t> </w:t>
      </w:r>
      <w:r>
        <w:rPr/>
        <w:t>un</w:t>
      </w:r>
      <w:r>
        <w:rPr>
          <w:spacing w:val="-2"/>
        </w:rPr>
        <w:t> </w:t>
      </w:r>
      <w:r>
        <w:rPr/>
        <w:t>élève</w:t>
      </w:r>
      <w:r>
        <w:rPr>
          <w:spacing w:val="-2"/>
        </w:rPr>
        <w:t> </w:t>
      </w:r>
      <w:r>
        <w:rPr/>
        <w:t>sur</w:t>
      </w:r>
      <w:r>
        <w:rPr>
          <w:spacing w:val="-2"/>
        </w:rPr>
        <w:t> </w:t>
      </w:r>
      <w:r>
        <w:rPr/>
        <w:t>cinq</w:t>
      </w:r>
      <w:r>
        <w:rPr>
          <w:spacing w:val="-2"/>
        </w:rPr>
        <w:t> </w:t>
      </w:r>
      <w:r>
        <w:rPr/>
        <w:t>qui</w:t>
      </w:r>
      <w:r>
        <w:rPr>
          <w:spacing w:val="-1"/>
        </w:rPr>
        <w:t> </w:t>
      </w:r>
      <w:r>
        <w:rPr/>
        <w:t>serait</w:t>
      </w:r>
      <w:r>
        <w:rPr>
          <w:spacing w:val="-2"/>
        </w:rPr>
        <w:t> </w:t>
      </w:r>
      <w:r>
        <w:rPr/>
        <w:t>susceptible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poursuivre</w:t>
      </w:r>
      <w:r>
        <w:rPr>
          <w:spacing w:val="-1"/>
        </w:rPr>
        <w:t> </w:t>
      </w:r>
      <w:r>
        <w:rPr/>
        <w:t>sa</w:t>
      </w:r>
      <w:r>
        <w:rPr>
          <w:spacing w:val="-2"/>
        </w:rPr>
        <w:t> </w:t>
      </w:r>
      <w:r>
        <w:rPr/>
        <w:t>scolarité</w:t>
      </w:r>
      <w:r>
        <w:rPr>
          <w:spacing w:val="-2"/>
        </w:rPr>
        <w:t> </w:t>
      </w:r>
      <w:r>
        <w:rPr/>
        <w:t>dans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lycée.</w:t>
      </w:r>
    </w:p>
    <w:p>
      <w:pPr>
        <w:pStyle w:val="BodyText"/>
      </w:pPr>
    </w:p>
    <w:p>
      <w:pPr>
        <w:pStyle w:val="BodyText"/>
        <w:spacing w:before="1"/>
        <w:ind w:left="115" w:right="128"/>
        <w:jc w:val="both"/>
      </w:pPr>
      <w:r>
        <w:rPr/>
        <w:t>Cette diminution du nombre de lycéen.nes induirait, à moyen terme, un plan social majeur des</w:t>
      </w:r>
      <w:r>
        <w:rPr>
          <w:spacing w:val="1"/>
        </w:rPr>
        <w:t> </w:t>
      </w:r>
      <w:r>
        <w:rPr/>
        <w:t>personnels</w:t>
      </w:r>
      <w:r>
        <w:rPr>
          <w:spacing w:val="-1"/>
        </w:rPr>
        <w:t> </w:t>
      </w:r>
      <w:r>
        <w:rPr/>
        <w:t>dans les</w:t>
      </w:r>
      <w:r>
        <w:rPr>
          <w:spacing w:val="-1"/>
        </w:rPr>
        <w:t> </w:t>
      </w:r>
      <w:r>
        <w:rPr/>
        <w:t>lycées.</w:t>
      </w:r>
    </w:p>
    <w:p>
      <w:pPr>
        <w:pStyle w:val="BodyText"/>
      </w:pPr>
    </w:p>
    <w:p>
      <w:pPr>
        <w:pStyle w:val="BodyText"/>
        <w:ind w:left="115" w:right="126" w:firstLine="709"/>
        <w:jc w:val="both"/>
      </w:pPr>
      <w:r>
        <w:rPr/>
        <w:t>Enfin, la mise en place de manuels labellisés, les préconisations insistantes de certaines</w:t>
      </w:r>
      <w:r>
        <w:rPr>
          <w:spacing w:val="1"/>
        </w:rPr>
        <w:t> </w:t>
      </w:r>
      <w:r>
        <w:rPr/>
        <w:t>pratiques pédagogiques et la place accrue des évaluations standardisées, détachées des réalités</w:t>
      </w:r>
      <w:r>
        <w:rPr>
          <w:spacing w:val="1"/>
        </w:rPr>
        <w:t> </w:t>
      </w:r>
      <w:r>
        <w:rPr/>
        <w:t>d’enseignement,</w:t>
      </w:r>
      <w:r>
        <w:rPr>
          <w:spacing w:val="1"/>
        </w:rPr>
        <w:t> </w:t>
      </w:r>
      <w:r>
        <w:rPr/>
        <w:t>sont</w:t>
      </w:r>
      <w:r>
        <w:rPr>
          <w:spacing w:val="1"/>
        </w:rPr>
        <w:t> </w:t>
      </w:r>
      <w:r>
        <w:rPr/>
        <w:t>des</w:t>
      </w:r>
      <w:r>
        <w:rPr>
          <w:spacing w:val="1"/>
        </w:rPr>
        <w:t> </w:t>
      </w:r>
      <w:r>
        <w:rPr/>
        <w:t>attaques</w:t>
      </w:r>
      <w:r>
        <w:rPr>
          <w:spacing w:val="1"/>
        </w:rPr>
        <w:t> </w:t>
      </w:r>
      <w:r>
        <w:rPr/>
        <w:t>contre</w:t>
      </w:r>
      <w:r>
        <w:rPr>
          <w:spacing w:val="1"/>
        </w:rPr>
        <w:t> </w:t>
      </w:r>
      <w:r>
        <w:rPr/>
        <w:t>l’expertise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professionalité</w:t>
      </w:r>
      <w:r>
        <w:rPr>
          <w:spacing w:val="1"/>
        </w:rPr>
        <w:t> </w:t>
      </w:r>
      <w:r>
        <w:rPr/>
        <w:t>des</w:t>
      </w:r>
      <w:r>
        <w:rPr>
          <w:spacing w:val="1"/>
        </w:rPr>
        <w:t> </w:t>
      </w:r>
      <w:r>
        <w:rPr/>
        <w:t>personnels.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professeur.es</w:t>
      </w:r>
      <w:r>
        <w:rPr>
          <w:spacing w:val="-3"/>
        </w:rPr>
        <w:t> </w:t>
      </w:r>
      <w:r>
        <w:rPr/>
        <w:t>sont</w:t>
      </w:r>
      <w:r>
        <w:rPr>
          <w:spacing w:val="-4"/>
        </w:rPr>
        <w:t> </w:t>
      </w:r>
      <w:r>
        <w:rPr/>
        <w:t>des</w:t>
      </w:r>
      <w:r>
        <w:rPr>
          <w:spacing w:val="-3"/>
        </w:rPr>
        <w:t> </w:t>
      </w:r>
      <w:r>
        <w:rPr/>
        <w:t>cadres</w:t>
      </w:r>
      <w:r>
        <w:rPr>
          <w:spacing w:val="-4"/>
        </w:rPr>
        <w:t> </w:t>
      </w:r>
      <w:r>
        <w:rPr/>
        <w:t>concepteurs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conceptrices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leur</w:t>
      </w:r>
      <w:r>
        <w:rPr>
          <w:spacing w:val="-4"/>
        </w:rPr>
        <w:t> </w:t>
      </w:r>
      <w:r>
        <w:rPr/>
        <w:t>métier</w:t>
      </w:r>
      <w:r>
        <w:rPr>
          <w:spacing w:val="-4"/>
        </w:rPr>
        <w:t> </w:t>
      </w:r>
      <w:r>
        <w:rPr/>
        <w:t>et</w:t>
      </w:r>
      <w:r>
        <w:rPr>
          <w:spacing w:val="-4"/>
        </w:rPr>
        <w:t> </w:t>
      </w:r>
      <w:r>
        <w:rPr/>
        <w:t>pas</w:t>
      </w:r>
      <w:r>
        <w:rPr>
          <w:spacing w:val="-3"/>
        </w:rPr>
        <w:t> </w:t>
      </w:r>
      <w:r>
        <w:rPr/>
        <w:t>des</w:t>
      </w:r>
      <w:r>
        <w:rPr>
          <w:spacing w:val="-3"/>
        </w:rPr>
        <w:t> </w:t>
      </w:r>
      <w:r>
        <w:rPr/>
        <w:t>exécutant.es.</w:t>
      </w:r>
    </w:p>
    <w:p>
      <w:pPr>
        <w:pStyle w:val="BodyText"/>
      </w:pPr>
    </w:p>
    <w:p>
      <w:pPr>
        <w:pStyle w:val="BodyText"/>
        <w:ind w:left="115" w:right="120" w:firstLine="709"/>
        <w:jc w:val="both"/>
      </w:pPr>
      <w:r>
        <w:rPr/>
        <w:t>Nous nous opposons à la réforme du « Choc des savoirs » et convions l’ensemble de la</w:t>
      </w:r>
      <w:r>
        <w:rPr>
          <w:spacing w:val="1"/>
        </w:rPr>
        <w:t> </w:t>
      </w:r>
      <w:r>
        <w:rPr/>
        <w:t>communauté</w:t>
      </w:r>
      <w:r>
        <w:rPr>
          <w:spacing w:val="-2"/>
        </w:rPr>
        <w:t> </w:t>
      </w:r>
      <w:r>
        <w:rPr/>
        <w:t>éducative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s’opposer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sa</w:t>
      </w:r>
      <w:r>
        <w:rPr>
          <w:spacing w:val="-2"/>
        </w:rPr>
        <w:t> </w:t>
      </w:r>
      <w:r>
        <w:rPr/>
        <w:t>mise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place.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right="111"/>
        <w:jc w:val="right"/>
      </w:pPr>
      <w:r>
        <w:rPr/>
        <w:t>Les</w:t>
      </w:r>
      <w:r>
        <w:rPr>
          <w:spacing w:val="-2"/>
        </w:rPr>
        <w:t> </w:t>
      </w:r>
      <w:r>
        <w:rPr/>
        <w:t>représentant.es des</w:t>
      </w:r>
      <w:r>
        <w:rPr>
          <w:spacing w:val="-1"/>
        </w:rPr>
        <w:t> </w:t>
      </w:r>
      <w:r>
        <w:rPr/>
        <w:t>personnels d’enseignement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d’éducation</w:t>
      </w:r>
    </w:p>
    <w:p>
      <w:pPr>
        <w:pStyle w:val="BodyText"/>
        <w:ind w:right="112"/>
        <w:jc w:val="right"/>
      </w:pPr>
      <w:r>
        <w:rPr/>
        <w:t>soutenu.es</w:t>
      </w:r>
      <w:r>
        <w:rPr>
          <w:spacing w:val="-8"/>
        </w:rPr>
        <w:t> </w:t>
      </w:r>
      <w:r>
        <w:rPr/>
        <w:t>par</w:t>
      </w:r>
      <w:r>
        <w:rPr>
          <w:spacing w:val="-7"/>
        </w:rPr>
        <w:t> </w:t>
      </w:r>
      <w:r>
        <w:rPr/>
        <w:t>leur</w:t>
      </w:r>
      <w:r>
        <w:rPr>
          <w:spacing w:val="-7"/>
        </w:rPr>
        <w:t> </w:t>
      </w:r>
      <w:r>
        <w:rPr/>
        <w:t>section</w:t>
      </w:r>
      <w:r>
        <w:rPr>
          <w:spacing w:val="-7"/>
        </w:rPr>
        <w:t> </w:t>
      </w:r>
      <w:r>
        <w:rPr/>
        <w:t>SNES-FSU</w:t>
      </w:r>
    </w:p>
    <w:sectPr>
      <w:type w:val="continuous"/>
      <w:pgSz w:w="11910" w:h="16840"/>
      <w:pgMar w:top="11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2024-04-23T09:28:55Z</dcterms:created>
  <dcterms:modified xsi:type="dcterms:W3CDTF">2024-04-23T09:28:55Z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2024-04-09T00:00:00Z</vt:filetime>
  </property>
</Properties>
</file>